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Психодиагностическое и психокоррекционное сопровождение детей младшего школьного возраста с нарушениями речевого развития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программе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Данная программа является частью дополнительного профессионального образования, ориентированного на повышение профессиональной квалификации учителей-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логопедов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педагогов-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психологов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работающих с детьми младшего школьного возраста, имеющими различные нарушения речевого развития. Представленная программа позволяет систематизировать знания и представить различные модели психодиагностической и психокоррекционной работы с детьми, детьми младшего школьного возраста, имеющими различные нарушения речевого развития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дополнительного профессионального образования “Психодиагностическое и психокоррекционное сопровождение детей младшего школьного возраста с нарушениями речевого развития ” предусматривает реализацию следующей цели: формирование у слушателей представлений об особенностях психического развития детей с тяжелыми нарушениями речи, о направлениях, содержании и формах логопсихокоррекционной работы.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Профессиональные задачи.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реализации программы поставлены следующие задачи: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Углубить и закрепить у слушателей теоретические представления о закономерностях психического развития ребенка младшего школьного возраста в условиях речевого дизонтогенеза.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 слушателей научно и практически обоснованных представлений о специфике психического развития при первичных речевых нарушениях различной степени тяжести и этиологии.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умения проводить психологическое обследование детей младшего школьного возраста с речевой патологией с целью определения профиля и уровня их психического развития.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Вырабатывать у слушателей практические представления в области дифференциальной диагностики первичного речевого недоразвития от сходных по внешним проявлениям состояний (аутизма, нарушений слуховой функции, задержки психического развития, сложных недостатков развития).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Вырабатывать у слушателей первичные умения организации и проведения логопсихологической коррекции ребенка в условиях организованного логопедического воздействия.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дополнительного образования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рассчитана на 72 часа. Из них 36 часов для работы с учебным материалом и 36 часов для выполнения задания для самостоятельной работы.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ТЕМАТИЧЕСКИЙ ПЛАН</w:t>
      </w:r>
    </w:p>
    <w:tbl>
      <w:tblPr/>
      <w:tblGrid>
        <w:gridCol w:w="647"/>
        <w:gridCol w:w="5521"/>
        <w:gridCol w:w="1307"/>
        <w:gridCol w:w="1835"/>
        <w:gridCol w:w="1895"/>
      </w:tblGrid>
      <w:tr>
        <w:trPr>
          <w:trHeight w:val="1" w:hRule="atLeast"/>
          <w:jc w:val="left"/>
        </w:trPr>
        <w:tc>
          <w:tcPr>
            <w:tcW w:w="647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552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разделы/темы</w:t>
            </w:r>
          </w:p>
        </w:tc>
        <w:tc>
          <w:tcPr>
            <w:tcW w:w="1307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учебным материалом</w:t>
            </w:r>
          </w:p>
        </w:tc>
        <w:tc>
          <w:tcPr>
            <w:tcW w:w="183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Часы самостоятельной работы</w:t>
            </w:r>
          </w:p>
        </w:tc>
        <w:tc>
          <w:tcPr>
            <w:tcW w:w="1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647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2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7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6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5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Понятие и структура речевых нарушений, первичные и вторичные нарушения в структуре дефекта</w:t>
            </w:r>
          </w:p>
        </w:tc>
        <w:tc>
          <w:tcPr>
            <w:tcW w:w="13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6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5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Особенности когнитивных нарушений у детей с ТНР</w:t>
            </w:r>
          </w:p>
        </w:tc>
        <w:tc>
          <w:tcPr>
            <w:tcW w:w="13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6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5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Нарушение мыслительных операций у детей с ТНР</w:t>
            </w:r>
          </w:p>
        </w:tc>
        <w:tc>
          <w:tcPr>
            <w:tcW w:w="13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6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5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Личность и деятельность ребенка с нарушениями речи</w:t>
            </w:r>
          </w:p>
        </w:tc>
        <w:tc>
          <w:tcPr>
            <w:tcW w:w="13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6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5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Психокоррекционная работа с детьми с ТНР</w:t>
            </w:r>
          </w:p>
        </w:tc>
        <w:tc>
          <w:tcPr>
            <w:tcW w:w="13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6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5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3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1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18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5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5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numPr>
          <w:ilvl w:val="0"/>
          <w:numId w:val="5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 (1 месяц 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0">
    <w:abstractNumId w:val="18"/>
  </w:num>
  <w:num w:numId="53">
    <w:abstractNumId w:val="12"/>
  </w:num>
  <w:num w:numId="55">
    <w:abstractNumId w:val="6"/>
  </w:num>
  <w:num w:numId="5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sispp.tiu.ru/g3044676-psihologiya" Id="docRId3" Type="http://schemas.openxmlformats.org/officeDocument/2006/relationships/hyperlink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sispp.tiu.ru/g6168779-logopediya" Id="docRId2" Type="http://schemas.openxmlformats.org/officeDocument/2006/relationships/hyperlink"/><Relationship TargetMode="External" Target="http://sispp.tiu.ru/g6629278-dopolnitelnoe-obrazovanie" Id="docRId4" Type="http://schemas.openxmlformats.org/officeDocument/2006/relationships/hyperlink"/><Relationship Target="styles.xml" Id="docRId6" Type="http://schemas.openxmlformats.org/officeDocument/2006/relationships/styles"/></Relationships>
</file>